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cfd25f9f541a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14007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"Vladimir Nazor" Sveti Ilija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1.602.228,51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3.012.052,07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1.404.749,37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1.658.611,60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197.479,14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1.353.440,47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75.809,42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1.528.606,25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75.809,42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1.528.606,25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175.165,78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obračunskom razdoblju za 2025. godinu ostvareni su ukupni prihodi poslovanja u iznosu od 3.012.052,07 €, dok su ukupni rashodi poslovanja iznosili 1.658.611,60 €. Kao rezultat navedenog ostvaren je višak prihoda poslovanja u iznosu od 1.353.440,47 €. Rast prihoda poslovanja u odnosu na ranije razdoblje najvećim dijelom proizlazi iz povećanih sredstava osiguranih iz fondova Europske unije, Nacionalnog plana oporavka i otpornosti te iz proračunskih izvora namijenjenih financiranju redovnog poslovanja i provedbi projekata. Ukupni rashodi poslovanja povećani su ponajprije zbog viših rashoda za zaposlene, koji su rezultat povećanja osnovice plaće i većeg broja zaposlenih, kao i zbog rasta troškova materijalnih rashoda uslijed inflacijskih kretanja i porasta cijena roba i usluga.</w:t>
      </w:r>
    </w:p>
    <w:p>
      <w:pPr>
        <w:jc w:val="both"/>
      </w:pPr>
      <w:r>
        <w:t xml:space="preserve">Prihodi od prodaje nefinancijske imovine u izvještajnom razdoblju nisu ostvareni, dok rashodi za nabavu nefinancijske imovine iznose 1.528.606,25 €, čime je iskazan manjak prihoda od nefinancijske imovine u istom iznosu. Navedeni rashodi odnose se pretežito na dodatna ulaganja u dugotrajnu imovinu, osobito na provedbu projekta energetske obnove školske zgrade 2.</w:t>
      </w:r>
    </w:p>
    <w:p>
      <w:pPr>
        <w:jc w:val="both"/>
      </w:pPr>
      <w:r>
        <w:t xml:space="preserve">Primici i izdaci vezani uz financijsku imovinu i zaduživanja nisu evidentirani tijekom razdoblja. Slijedom navedenog, kao rezultat poslovanja u 2025. godini ostvaren je manjak prihoda i primitaka u iznosu od 175.165,78 €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1.602.228,51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3.012.052,07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poslovanja u tekućoj godini bilježe povećanje od 88,00 % u odnosu na prethodnu izvještajnu godinu. Značajan rast prihoda evidentiran je prvenstveno na temelju intenzivnijeg korištenja sredstava iz fondova Europske unije, osobito u okviru projekta energetske obnove školske zgrade 2. Uz navedeno, zabilježen je i porast proračunskih te namjenskih prihoda poslovanja, što je dodatno utjecalo na ukupno povećanje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1.463.618,41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2.175.533,96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Tijekom tekuće godine prihodi na skupini 63 bilježe povećanje od 48,60% u odnosu na prethodnu godinu. Povećanje prihoda odnosi se prvenstveno na sredstva doznačena iz državnog proračuna, koja su korištena za financiranje plaća i ostalih materijalnih prava zaposlenika, prehranu učenika, nabavu dijagnostičkih sredstava te osiguravanje higijenskih potrepština.</w:t>
      </w:r>
    </w:p>
    <w:p>
      <w:pPr>
        <w:jc w:val="both"/>
      </w:pPr>
      <w:r>
        <w:t xml:space="preserve">Uz navedeno, evidentirana su i sredstva doznačena od strane jedinica lokalne samouprave, Općine Sveti Ilija i Općine Beretinec, koja su bila namijenjena sufinanciranju programa produženog boravka učenika, troškovima smještaja učenica u okviru sudjelovanja u programu Novigradsko proljeće te provedbi škole plivanja.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198.087,98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804.396,81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Pomoći temeljem prijenosa EU sredstava u tekućoj godini bilježe značajan porast u odnosu na prethodnu godinu. Najveći dio navedenih prihoda odnosi se na kapitalnu pomoć iz fondova Europske unije u iznosu od 801.873,35 €, namijenjenih sufinanciranju projekta energetske obnove školske zgrade 2. Uz navedeno, evidentirani su i prihodi ostvareni u okviru projekta "Školska shema" u iznosu od 2.523,46 €.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34.514,38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50.408,08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ostvareni temeljem prijenosa između proračunskih korisnika istog proračuna u tekućoj godini povećali su se za 46,00% u odnosu na prethodnu godinu. Navedena sredstva odnose se na projekt "I ti možeš", kojim se financira rad asistenata u nastavi. U okviru navedenog projekta u tekućoj godini ostvareni su prihodi u iznosu od 50.408,08 €. Povećanje prihoda u odnosu na prethodnu godinu rezultat je veće satnice za asistente u nastavi, kao i povećanog broja angažiranih asistenata.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25.715,43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29.551,89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ostvareni na skupini 65 odnose se na financiranje programa produženog boravka te su približno su na razini prethodne godine. Rast od 14,90% rezultat je većeg broja učenika uključenih u produženi boravak, kao i povećanja cijene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11.977,62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9.145,57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od prodaje proizvoda i robe te pruženih usluga u tekućoj godini bilježe smanjenje od 23,60% u odnosu na prethodnu godinu, prvenstveno zbog manjeg najma školske sportske dvorane. Ostali izvori prihoda su rad učeničke zadruge te iznajmljivanje učionica.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100.852,48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796.572,11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789,8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Ostvareni prihodi iz nadležnog proračuna i od HZZO-a na temelju ugovornih obveza u tekućoj godini bilježe porast od približno 689,80% u odnosu na isto razdoblje prethodne godine. Sredstva su namijenjena za pokriće redovnih rashoda poslovanja škole, dok je značajan porast prihoda posljedica dodatnih ulaganja osnivača u obnovu školske zgrade 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1946,4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Ostali prihodi značajano su porasli u odnosu na prethodnu izvještajnu godinu. Prihodi su ostvareni kako bi se pokrili troškovi potrošnje vode i električne energije, a sredstva su osigurana od strane izvođača radova na školskoj zgradi 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1.404.749,37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1.658.611,60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poslovanja u 2025. godini iznose 1.658.611,60 €, što predstavlja porast od 18,10% u odnosu na isto razdoblje 2024. godine. Povećanje rashoda prvenstveno je posljedica rasta troškova za zaposlene, koji proizlaze iz povećanja osnovice plaće i većeg broja zaposlenih. Osim toga, zabilježen je i porast materijalnih i ostalih rashoda poslovanja, što je djelomično uvjetovano općom inflacijom i rastućim cijenama roba i usluga potrebnih za redovno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241.874,50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264.940,86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Materijalni rashodi u 2025. godini povećani su za 9,50% u odnosu na prethodnu godinu. Porast materijalnih rashoda posljedica je rasta cijena namirnica, potrošnog materijala, režijskih troškova te drugih stavki potrebnih za redovno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9.067,45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6.649,30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nabavu proizvedene dugotrajne imovine u 2025. godini smanjeni su za 26,70% u odnosu na isto razdoblje prethodne godine. Smanjenje je posljedica manjeg obujma nabave udžbenika, uređaja i opreme potrebne za redovno poslovanje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66.741,97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1.521.956,95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2280,4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dodatna ulaganja na nefinancijskoj imovini u 2025. godini porasli su za 2.180,40 % u odnosu na prethodnu godinu, što je prvenstveno posljedica provedbe energetske obnove školske zgrade 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175.165,78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Ukupan manjak prihoda iznosi 175.165,78 €. Najvećim dijelom je razlog manjka ukidanje konta kontinuiranih rashoda, zbog čega se plaća za prosinac u izvještajnom razdoblju iskazuje kao manjak prihoda.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6.650.343,29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7.960.764,01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Vrijednost imovine u 2025. godini nije se značajno razlikovala od vrijednosti imovine u 2024. godini i iznosi približno 19,70% više. Povećanje se prvenstveno odnosi na vrijednost zgrade zbog dodatnih ulaganja u energetsku obnovu školske zgrade 2. Također se bilježi rast ispravka vrijednosti građevinskih objekata i postrojenja i opreme, budući da se amortizira imovina nove školske zgrade koja je stavljena u uporabu krajem 2023.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205.578,26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28.319,42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Novac na žiroračunu škole iznosi 28.319,42€, dok je saldo na blagajni 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196,8</w:t>
            </w:r>
          </w:p>
        </w:tc>
      </w:tr>
    </w:tbl>
    <w:p>
      <w:pPr>
        <w:spacing w:before="0" w:after="0"/>
      </w:pPr>
    </w:p>
    <w:p>
      <w:r>
        <w:t xml:space="preserve">Ostala potraživanja odnose se na HZZO bolovanja i potraživanja od dobavljača s osnove preplaćenih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216.044,69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6327,7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Potraživanja za prihode od prodaje proizvoda i pruženih usluga odnose se na neplaćene izlazne račune za produženi boravak te obroke i ručkove za učenike, kao i na neplaćena sredstva od najma školske dvorane za prosinac 2025. godine. Također, potraživanja uključuju kapitalne pomoći iz državnog proračuna vezane uz posljednja tri ZNS-a.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99.554,75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107.956,89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zaposlene u 2025. godini veće su za 8,40% u odnosu na prethodnu godinu, što je rezultat povećanja osnovice plaće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dodatna ulaganja na nefinancijskoj imovini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26.338,78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68.072,79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258,5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dodatna ulaganja na nefinancijskoj imovini u 2025. godini porasle su 158,50% u odnosu na prethodnu godinu, a odnose se na provedbu energetske obnove školske zgrade 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109.606,25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-207.030,17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-188,9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Preneseni višak iz prethodne godine korigiran je zbog uplaćenog predujma za energetsku obnovu, koji je evidentiran kao obveza za predujmove, što je rezultiralo novim stanjem manjka od 31.864,35 €. Kada se ovom iznosu pribroji rezultat tekuće godine, u izvještajnom razdoblju ostvaruje se ukupni manjak od 207.030,17 €.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1.480.558,79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3.187.217,85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osnovno obrazovanje u izvještajnom razdoblju bilježe povećanje od 115,30% u odnosu na isto razdoblje prethodne godine. Povećanje rashoda proizlazi iz većeg obujma financiranja investicijskih projekata te rasta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Promjene u vrijednosti imovine odnose se na otpis sitnog inventara u izvještajnoj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218.127,51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iznosa odnosi se na darivane knjige od osnivača, Varaždinske županije, dok smanjenje iznosa proizlazi iz amortizacije osnovnih sredstava škole i udžbenika za višegodišnju upotrebu financiranih od Ministarstva znanosti, obrazovanja i mladih.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236.281,48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obveza na dan 31.12.2025. godine iznosi 236.281,48 €. U navedeni iznos uključene su obveze za plaće za mjesec prosinac, kao i ostale obveze prema dobavljačima.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25.205,33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 kraju izvještajnog razdoblja, stanje dospjelih obveza odnosi se na međusobne obveze subjekata općeg proračuna, odnosno povrat sredstava osnivaču, kao i na materijalne rashode u iznosu od 8.425,43 €, koji se odnose na račune iz studenog i prosinca, a podmireni su u siječnju. Dodatno, obveze prema građanima i kućanstvima iznose 13.344,39 € i odnose se na plaćanje udžbenika financiranih od strane MZOM-a, pri čemu sredstva još nisu doznačena, a isplata je planirana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211.076,15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nedospjele obveze za zaposlene, materijalne i financijske rashode bit će podmirene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rPr>
          <w:b/>
        </w:rPr>
        <w:t xml:space="preserve">Projekt "I ti možeš" – pomoćnici u nastavi (ESF+)</w:t>
      </w:r>
      <w:r>
        <w:rPr>
          <w:b/>
        </w:rPr>
      </w:r>
    </w:p>
    <w:p>
      <w:pPr>
        <w:jc w:val="both"/>
      </w:pPr>
      <w:r>
        <w:t xml:space="preserve">Na temelju provedbe projekta "I ti možeš", koji se realizira u okviru Operativnog programa "Učinkoviti ljudski potencijali 2021.–2027.", a čiji je nositelj Varaždinska županija, školi su osigurana financijska sredstva za financiranje rada četiri pomoćnika u nastavi za četvero učenika s teškoćama u razvoju. Sredstva se školi doznačuju putem Varaždinske županije, a projekt se sufinancira iz Europskog socijalnog fonda plus (ESF+). Prihodi i rashodi iskazani u ovom izvještaju odnose se na isplatu plaća, pripadajućih doprinosa te ostalih naknada za pomoćnike u nastavi, sukladno važećim propisima i uvjetima projekta.</w:t>
      </w:r>
    </w:p>
    <w:p>
      <w:pPr>
        <w:jc w:val="both"/>
      </w:pPr>
      <w:r>
        <w:rPr>
          <w:b/>
        </w:rPr>
        <w:t xml:space="preserve">Projekt energetske obnove školske zgrade 2 – EnU (NPOO)</w:t>
      </w:r>
    </w:p>
    <w:p>
      <w:pPr>
        <w:jc w:val="both"/>
      </w:pPr>
      <w:r>
        <w:t xml:space="preserve">Projekt energetske obnove školske zgrade 2 na adresi Školska ulica 7, Sveti Ilija financira se bespovratnim sredstvima Mehanizma za oporavak i otpornost u okviru Nacionalnog plana oporavka i otpornosti za razdoblje 2021.–2026., uz sufinanciranje Varaždinske županije. Radovi su započeli u studenom 2024. godine, a njihov završetak planiran je krajem siječnja 2026. godine.</w:t>
      </w:r>
    </w:p>
    <w:p>
      <w:pPr>
        <w:jc w:val="both"/>
      </w:pPr>
      <w:r>
        <w:t xml:space="preserve">Ukupni prihvatljivi troškovi projekta iznose 1.216.143,75 €, dok dodijeljena bespovratna sredstva iznose 977.902,14 €, što predstavlja najviši mogući udio sufinanciranja ugovorene vrijednosti prihvatljivih izdataka. Krajem 2024. godine isplaćen je predujam u iznosu od 195.580,42 €, koji je u cijelosti utrošen tijekom 2025. godine.</w:t>
      </w:r>
    </w:p>
    <w:p>
      <w:pPr>
        <w:jc w:val="both"/>
      </w:pPr>
      <w:r>
        <w:t xml:space="preserve">Prihodi iskazani u ovom izvještaju iznose ukupno 801.873,35 € i odnose se na sredstva doznačena iz državnog proračuna, dok su ukupni rashodi u 2025. godini iznosili 899.692,80 €. Obračunati prihodi poslovanja iznose 97.819,46 € te se odnose na zahtjeve za nadoknadu sredstava (ZNS) za posljednja tri mjeseca provedbe projekta, čija se isplata očekuje u 2026. godini. Potraživanja po ugovorima o dodjeli bespovratnih sredstava Europske unije na dan 31. prosinca 2025. godine iznosila su 5.574,01 €.</w:t>
      </w:r>
    </w:p>
    <w:p>
      <w:pPr>
        <w:jc w:val="both"/>
      </w:pPr>
      <w:r>
        <w:t xml:space="preserve"> </w:t>
      </w:r>
    </w:p>
    <w:p>
      <w:pPr>
        <w:jc w:val="both"/>
      </w:pPr>
      <w:r>
        <w:t xml:space="preserve"> </w:t>
      </w:r>
    </w:p>
    <w:p>
      <w:r>
        <w:t xml:space="preserve"> </w:t>
      </w:r>
    </w:p>
    <w:p>
      <w:r>
        <w:rPr>
          <w:b/>
        </w:rP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04edebe1764f56" /></Relationships>
</file>