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20103" w14:paraId="51BD37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9E4A97" w14:textId="77777777" w:rsidR="00D20103" w:rsidRDefault="00CF523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1A067DD" w14:textId="77777777" w:rsidR="00D20103" w:rsidRDefault="00CF5233">
            <w:pPr>
              <w:spacing w:after="0" w:line="240" w:lineRule="auto"/>
            </w:pPr>
            <w:r>
              <w:t>14007</w:t>
            </w:r>
          </w:p>
        </w:tc>
      </w:tr>
      <w:tr w:rsidR="00D20103" w14:paraId="0468F40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F66057" w14:textId="77777777" w:rsidR="00D20103" w:rsidRDefault="00CF523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0DAC94B" w14:textId="77777777" w:rsidR="00D20103" w:rsidRDefault="00CF5233">
            <w:pPr>
              <w:spacing w:after="0" w:line="240" w:lineRule="auto"/>
            </w:pPr>
            <w:r>
              <w:t>Osnovna škola "Vladimir Nazor" Sveti Ilija</w:t>
            </w:r>
          </w:p>
        </w:tc>
      </w:tr>
      <w:tr w:rsidR="00D20103" w14:paraId="53D25B8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656EDA" w14:textId="77777777" w:rsidR="00D20103" w:rsidRDefault="00CF523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35A8CA4" w14:textId="77777777" w:rsidR="00D20103" w:rsidRDefault="00CF5233">
            <w:pPr>
              <w:spacing w:after="0" w:line="240" w:lineRule="auto"/>
            </w:pPr>
            <w:r>
              <w:t>31</w:t>
            </w:r>
          </w:p>
        </w:tc>
      </w:tr>
    </w:tbl>
    <w:p w14:paraId="480F003F" w14:textId="77777777" w:rsidR="00D20103" w:rsidRDefault="00CF5233">
      <w:r>
        <w:br/>
      </w:r>
    </w:p>
    <w:p w14:paraId="02894A6E" w14:textId="77777777" w:rsidR="00D20103" w:rsidRDefault="00CF523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F913C2" w14:textId="77777777" w:rsidR="00D20103" w:rsidRDefault="00CF523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77E35A" w14:textId="77777777" w:rsidR="00D20103" w:rsidRDefault="00CF5233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6759D76C" w14:textId="77777777" w:rsidR="00D20103" w:rsidRDefault="00D20103"/>
    <w:p w14:paraId="7CAA415E" w14:textId="77777777" w:rsidR="00D20103" w:rsidRDefault="00CF523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A9AAC02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6C0E3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5A21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9271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EC26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3CF3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151D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E5FC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56570F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334C2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BF6F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EC271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638F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1.079.388,20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5879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1.219.530,53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ECC7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  <w:tr w:rsidR="00D20103" w14:paraId="5E52B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B4DC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3DCB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7BB10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0397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871.362,26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87BB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864.665,37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F094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  <w:tr w:rsidR="00D20103" w14:paraId="2CB8B0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B9B0C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37D60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AAD00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BA66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208.025,94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B893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354.865,16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D08D4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170,6</w:t>
            </w:r>
          </w:p>
        </w:tc>
      </w:tr>
      <w:tr w:rsidR="00D20103" w14:paraId="7F63D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A2A1F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3EC751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16962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4B14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231C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DA87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103" w14:paraId="624600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907E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1A7E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3011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E9838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696.994,22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2584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262.384,44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1CE5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37,6</w:t>
            </w:r>
          </w:p>
        </w:tc>
      </w:tr>
      <w:tr w:rsidR="00D20103" w14:paraId="172B90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A419E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407D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D9AD9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A454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696.994,22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0BBD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262.384,44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2008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37,6</w:t>
            </w:r>
          </w:p>
        </w:tc>
      </w:tr>
      <w:tr w:rsidR="00D20103" w14:paraId="017935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57F07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73A75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A91B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4F305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BE30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25A9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103" w14:paraId="7A6B1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DE55F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53BA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EB90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DB9B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B8F0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BEE8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103" w14:paraId="40676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09E61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8E88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E1FB2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2CB8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6C80B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52B35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0103" w14:paraId="12EFC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46EFA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24BE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6CA04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0C0E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5931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92.480,72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8E18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3B1A96F" w14:textId="77777777" w:rsidR="00D20103" w:rsidRDefault="00D20103">
      <w:pPr>
        <w:spacing w:after="0"/>
      </w:pPr>
    </w:p>
    <w:p w14:paraId="21BDD2C7" w14:textId="77777777" w:rsidR="00D20103" w:rsidRDefault="00CF5233">
      <w:pPr>
        <w:jc w:val="both"/>
      </w:pPr>
      <w:r>
        <w:t>U razdoblju od 1. siječnja do 30. lipnja 2026. godine ostvareni su ukupni prihodi poslovanja u iznosu od 1.219.530,53 €, dok su ukupni rashodi poslovanja iznosili 864.665,37 €. Kao rezultat navedenog ostvaren je višak prihoda poslovanja u iznosu od 354.865</w:t>
      </w:r>
      <w:r>
        <w:t xml:space="preserve">,16 €. Povećanje prihoda poslovanja u odnosu na prethodno izvještajno razdoblje najvećim dijelom proizlazi iz povećanih sredstava osiguranih iz proračunskih izvora namijenjenih financiranju dovršetka obnove školske zgrade 2, redovnog poslovanja i provedbe </w:t>
      </w:r>
      <w:r>
        <w:t xml:space="preserve">projekata, kao i iz sredstava Ministarstva znanosti i obrazovanja namijenjenih opremanju školske zgrade 2. Ukupni </w:t>
      </w:r>
      <w:r>
        <w:lastRenderedPageBreak/>
        <w:t>rashodi poslovanja ostaju na gotovo jednakoj razini u odnosu na isto razdoblje prethodne godine.</w:t>
      </w:r>
    </w:p>
    <w:p w14:paraId="0A4BF2C4" w14:textId="77777777" w:rsidR="00D20103" w:rsidRDefault="00CF5233">
      <w:pPr>
        <w:jc w:val="both"/>
      </w:pPr>
      <w:r>
        <w:t>Prihodi od prodaje nefinancijske imovine u iz</w:t>
      </w:r>
      <w:r>
        <w:t>vještajnom razdoblju nisu ostvareni, dok rashodi za nabavu nefinancijske imovine iznose 262.384,44 €, slijedom čega je iskazan manjak prihoda od nefinancijske imovine u istom iznosu. Navedeni rashodi pretežito se odnose na dodatna ulaganja u dugotrajnu imo</w:t>
      </w:r>
      <w:r>
        <w:t>vinu, odnosno na dovršetak obnove školske zgrade 2 te njezino opremanje.</w:t>
      </w:r>
    </w:p>
    <w:p w14:paraId="1EACEDD8" w14:textId="77777777" w:rsidR="00D20103" w:rsidRDefault="00CF5233">
      <w:pPr>
        <w:jc w:val="both"/>
      </w:pPr>
      <w:r>
        <w:t>Primici i izdaci vezani uz financijsku imovinu i zaduživanje nisu evidentirani tijekom izvještajnog razdoblja.</w:t>
      </w:r>
    </w:p>
    <w:p w14:paraId="6B2D4A7D" w14:textId="77777777" w:rsidR="00D20103" w:rsidRDefault="00CF5233">
      <w:pPr>
        <w:jc w:val="both"/>
      </w:pPr>
      <w:r>
        <w:t xml:space="preserve">Slijedom navedenoga, kao rezultat poslovanja u razdoblju od 1. siječnja </w:t>
      </w:r>
      <w:r>
        <w:t>do 30. lipnja 2026. godine ostvaren je višak prihoda i primitaka u iznosu od 92.480,72 €.</w:t>
      </w:r>
    </w:p>
    <w:p w14:paraId="438F8124" w14:textId="77777777" w:rsidR="00D20103" w:rsidRDefault="00CF5233">
      <w:r>
        <w:br/>
      </w:r>
    </w:p>
    <w:p w14:paraId="735A12EC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072BD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4E78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454A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0869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8860E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BA54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02E4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3D3402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1B3F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C2D69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F24FD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AD85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1.079.388,20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AB164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1.219.530,53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401C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0F4AF890" w14:textId="77777777" w:rsidR="00D20103" w:rsidRDefault="00D20103">
      <w:pPr>
        <w:spacing w:after="0"/>
      </w:pPr>
    </w:p>
    <w:p w14:paraId="4A2E52D3" w14:textId="77777777" w:rsidR="00D20103" w:rsidRDefault="00CF5233">
      <w:pPr>
        <w:jc w:val="both"/>
      </w:pPr>
      <w:r>
        <w:t>Prihodi poslovanja u izvještajnom razdoblju povećani su za 13,00 % u odnosu na isto razdoblje prethodne godine. Rast prihoda najvećim je dijelom rezultat korištenja sredstava u okviru projekta energetske obnove školske zgrade 2 i njezino opremanje. Uz nave</w:t>
      </w:r>
      <w:r>
        <w:t>deno, evidentiran je i porast proračunskih i namjenskih prihoda poslovanja, što je dodatno pridonijelo ukupnom povećanju prihoda. </w:t>
      </w:r>
    </w:p>
    <w:p w14:paraId="6E2C506D" w14:textId="77777777" w:rsidR="00D20103" w:rsidRDefault="00D20103"/>
    <w:p w14:paraId="35165564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347DC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6B77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93DC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3C43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AA84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5834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A277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7E43F9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22CA1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06ECA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1F6D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89CE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825.088,62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94116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733.790,70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2AEA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10D48287" w14:textId="77777777" w:rsidR="00D20103" w:rsidRDefault="00D20103">
      <w:pPr>
        <w:spacing w:after="0"/>
      </w:pPr>
    </w:p>
    <w:p w14:paraId="43A02B37" w14:textId="77777777" w:rsidR="00D20103" w:rsidRDefault="00CF5233">
      <w:pPr>
        <w:jc w:val="both"/>
      </w:pPr>
      <w:r>
        <w:t>Tijekom izvještajnog razdoblja 2026. godine prihodi na skupini 63 bilježe smanjenje od 11,10% u odnosu na isto razdoblje prethodne godine. Prihodi se odnose na sredstva doznačena iz državnog proračuna, koja su korištena za financiranje plaća i ostalih mate</w:t>
      </w:r>
      <w:r>
        <w:t>rijalnih prava zaposlenika, prehranu učenika, nabavu dijagnostičkih sredstava te osiguravanje higijenskih potrepština. Smanjenje prihoda posljedica je završetka projekta energetske obnove školske zgrade 2, zbog čega su u odnosu na prethodno izvještajno raz</w:t>
      </w:r>
      <w:r>
        <w:t>doblje ostvareni manji prihodi od kapitalnih pomoći iz fondova Europske unije.</w:t>
      </w:r>
    </w:p>
    <w:p w14:paraId="72A6C354" w14:textId="77777777" w:rsidR="00D20103" w:rsidRDefault="00CF5233">
      <w:pPr>
        <w:jc w:val="both"/>
      </w:pPr>
      <w:r>
        <w:lastRenderedPageBreak/>
        <w:t xml:space="preserve">Uz navedeno, evidentirana su i sredstva doznačena od strane jedinica lokalne samouprave, Općine Sveti Ilija i Općine </w:t>
      </w:r>
      <w:proofErr w:type="spellStart"/>
      <w:r>
        <w:t>Beretinec</w:t>
      </w:r>
      <w:proofErr w:type="spellEnd"/>
      <w:r>
        <w:t>, koja su namijenjena sufinanciranju programa produ</w:t>
      </w:r>
      <w:r>
        <w:t>ženog boravka učenika.</w:t>
      </w:r>
    </w:p>
    <w:p w14:paraId="02A0725E" w14:textId="77777777" w:rsidR="00D20103" w:rsidRDefault="00D20103"/>
    <w:p w14:paraId="60503592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3B3CE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40F7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10DA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5DB4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ABEB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3AE1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AEEB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38ECB7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B81AF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7AE614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korisnicima iz proračuna koji im nije </w:t>
            </w:r>
            <w:r>
              <w:rPr>
                <w:sz w:val="18"/>
              </w:rPr>
              <w:t>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9360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A7D3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668.271,87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181C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711.833,52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C023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6C595D7C" w14:textId="77777777" w:rsidR="00D20103" w:rsidRDefault="00D20103">
      <w:pPr>
        <w:spacing w:after="0"/>
      </w:pPr>
    </w:p>
    <w:p w14:paraId="3B643C15" w14:textId="77777777" w:rsidR="00D20103" w:rsidRDefault="00CF5233">
      <w:pPr>
        <w:jc w:val="both"/>
      </w:pPr>
      <w:r>
        <w:t>Pomoći proračunskim korisnicima iz proračuna koji im nije nadležan odnose se na financiranje plaća i ostalih materijalnih prava zaposlenika, prehrane učenika, nabavu dijagnostičkih sredstava, osiguravanje higijenskih potrepština te financiranje plaća učite</w:t>
      </w:r>
      <w:r>
        <w:t>ljica u programu produženog boravka. Povećanje navedenih prihoda od 6,50 % prvenstveno je rezultat rasta osnovice za obračun plaća u 2026. godini, kao i povećanja broja zaposlenih u odnosu na isto razdoblje prethodne godine.</w:t>
      </w:r>
    </w:p>
    <w:p w14:paraId="0F61C9F9" w14:textId="77777777" w:rsidR="00D20103" w:rsidRDefault="00D20103"/>
    <w:p w14:paraId="358E0EDA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583BD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CA04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DB0E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7E04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438F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A640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C238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2A2BAD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2952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161A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CCF29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44344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128.428,19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56CC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B0FD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</w:tbl>
    <w:p w14:paraId="68AE037D" w14:textId="77777777" w:rsidR="00D20103" w:rsidRDefault="00D20103">
      <w:pPr>
        <w:spacing w:after="0"/>
      </w:pPr>
    </w:p>
    <w:p w14:paraId="76C8C99E" w14:textId="77777777" w:rsidR="00D20103" w:rsidRDefault="00CF5233">
      <w:pPr>
        <w:jc w:val="both"/>
      </w:pPr>
      <w:r>
        <w:t xml:space="preserve">Pomoći temeljem prijenosa EU sredstava u tekućoj godini bilježe značajan pad u odnosu na isto razdoblje prethodne godine, prvenstveno zbog smanjenja kapitalnih pomoći iz fondova Europske unije namijenjenih sufinanciranju projekta energetske obnove školske </w:t>
      </w:r>
      <w:r>
        <w:t>zgrade 2. Prihodi evidentirani u iznosu od 487,30 €, ostvareni su u okviru provedbe projekta „Školska shema“.</w:t>
      </w:r>
    </w:p>
    <w:p w14:paraId="0FEBB23B" w14:textId="77777777" w:rsidR="00D20103" w:rsidRDefault="00D20103"/>
    <w:p w14:paraId="60213069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6EE2B7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B281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D4B6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1800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AA5A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1DF3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D423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14223F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73840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59C6F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F161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FE41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28.388,56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E683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0538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75,6</w:t>
            </w:r>
          </w:p>
        </w:tc>
      </w:tr>
    </w:tbl>
    <w:p w14:paraId="00DCDF4F" w14:textId="77777777" w:rsidR="00D20103" w:rsidRDefault="00D20103">
      <w:pPr>
        <w:spacing w:after="0"/>
      </w:pPr>
    </w:p>
    <w:p w14:paraId="346F9904" w14:textId="77777777" w:rsidR="00D20103" w:rsidRDefault="00CF5233">
      <w:pPr>
        <w:jc w:val="both"/>
      </w:pPr>
      <w:r>
        <w:t>Prihodi ostvareni temeljem prijenosa između proračunskih korisnika istog proračuna u tekućoj godini manji su za 24,40 % u odnosu na isto razdoblje prethodne godine. Navedeni prihodi odnose se na provedbu projekta „I ti možeš“, kojim se financira rad asiste</w:t>
      </w:r>
      <w:r>
        <w:t>nata u nastavi. Smanjenje prihoda posljedica je činjenice da se iz ovih sredstava financira isključivo rad asistenata u nastavi koji imaju završen program osposobljavanja, zbog čega je opseg financiranja manji u odnosu na prethodno izvještajno razdoblje.</w:t>
      </w:r>
    </w:p>
    <w:p w14:paraId="384DF497" w14:textId="77777777" w:rsidR="00D20103" w:rsidRDefault="00D20103"/>
    <w:p w14:paraId="21AD046F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1D30B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FE1B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85E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74AF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3454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5E8C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FB2F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12CEB8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A78B1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4FFD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86195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44F9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16.775,77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F4CF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24.785,94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8A78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1F86597C" w14:textId="77777777" w:rsidR="00D20103" w:rsidRDefault="00D20103">
      <w:pPr>
        <w:spacing w:after="0"/>
      </w:pPr>
    </w:p>
    <w:p w14:paraId="0023B7C0" w14:textId="77777777" w:rsidR="00D20103" w:rsidRDefault="00CF5233">
      <w:pPr>
        <w:jc w:val="both"/>
      </w:pPr>
      <w:r>
        <w:t>Prihodi ostvareni na skupini 65 odnose se na uplate od strane roditelja za financiranje programa produženog boravka učenika. Povećanje prihoda od 47,70 % rezultat je većeg broja učenika uključenih u program produženog boravka, kao i povećanja cijene usluge</w:t>
      </w:r>
      <w:r>
        <w:t>.</w:t>
      </w:r>
    </w:p>
    <w:p w14:paraId="754D0216" w14:textId="77777777" w:rsidR="00D20103" w:rsidRDefault="00D20103"/>
    <w:p w14:paraId="2655EED2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75724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7B4A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A0D4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C803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F778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93CB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A83E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450D9F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3635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7E3D7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</w:t>
            </w:r>
            <w:r>
              <w:rPr>
                <w:sz w:val="18"/>
              </w:rPr>
              <w:t>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C8F03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7531C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C3E0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458C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14:paraId="369FA077" w14:textId="77777777" w:rsidR="00D20103" w:rsidRDefault="00D20103">
      <w:pPr>
        <w:spacing w:after="0"/>
      </w:pPr>
    </w:p>
    <w:p w14:paraId="24DBD464" w14:textId="77777777" w:rsidR="00D20103" w:rsidRDefault="00CF5233">
      <w:pPr>
        <w:jc w:val="both"/>
      </w:pPr>
      <w:r>
        <w:t>Prihodi od prodaje proizvoda i robe te pruženih usluga u tekućoj godini bilježe blago povećanje od 5,20% u odnosu na prethodnu godinu. Najvećim dijelom odnose se na najam školske dvorane i učionica. </w:t>
      </w:r>
    </w:p>
    <w:p w14:paraId="206FCE08" w14:textId="77777777" w:rsidR="00D20103" w:rsidRDefault="00D20103"/>
    <w:p w14:paraId="7C3FCA3E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0071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E955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455A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74EE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A95D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3FD9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5C1C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70DF3A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E9EA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FA5B4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D1D2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4DB0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229.835,09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4792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448.734,20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8E1E7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14:paraId="3EDD61CA" w14:textId="77777777" w:rsidR="00D20103" w:rsidRDefault="00D20103">
      <w:pPr>
        <w:spacing w:after="0"/>
      </w:pPr>
    </w:p>
    <w:p w14:paraId="4DFD6969" w14:textId="77777777" w:rsidR="00D20103" w:rsidRDefault="00CF5233">
      <w:pPr>
        <w:jc w:val="both"/>
      </w:pPr>
      <w:r>
        <w:t>Ostvareni prihodi iz nadležnog proračuna i od HZZO-a temeljem ugovornih obveza u tekućoj godini bilježe porast od 95,20 % u odnosu na isto razdoblje prethodne godine. Doznačena sredstva namijenjena su pokriću redovnih rashoda poslovanja škole, financiranju</w:t>
      </w:r>
      <w:r>
        <w:t xml:space="preserve"> prava zaposlenika te provedbi projekata koje financira osnivač. Povećanje se najvećim dijelom odnosi na sredstva u iznosu od 147.810,98 € namijenjena financiranju okončane situacije projekta energetske obnove školske zgrade 2. </w:t>
      </w:r>
    </w:p>
    <w:p w14:paraId="0DC1B19F" w14:textId="77777777" w:rsidR="00D20103" w:rsidRDefault="00D20103"/>
    <w:p w14:paraId="5AC7D762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AE5C8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EB46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B992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3150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07500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5378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0D8B0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27E8F4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D6A72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97A2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0ACE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5AEF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661D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5729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651,2</w:t>
            </w:r>
          </w:p>
        </w:tc>
      </w:tr>
    </w:tbl>
    <w:p w14:paraId="2EEF1158" w14:textId="77777777" w:rsidR="00D20103" w:rsidRDefault="00D20103">
      <w:pPr>
        <w:spacing w:after="0"/>
      </w:pPr>
    </w:p>
    <w:p w14:paraId="24792B7F" w14:textId="77777777" w:rsidR="00D20103" w:rsidRDefault="00CF5233">
      <w:pPr>
        <w:jc w:val="both"/>
      </w:pPr>
      <w:r>
        <w:t>Ostali prihodi bilježe značajan porast od 551,20 % u odnosu na prethodnu izvještajnu godinu. Ostvareni prihodi odnose se na sredstva osigurana od strane izvođača radova, a namijenjena su pokriću troškova potrošnje vode i električne energije povezanih s dov</w:t>
      </w:r>
      <w:r>
        <w:t>ršetkom energetske obnove školske zgrade 2.</w:t>
      </w:r>
    </w:p>
    <w:p w14:paraId="57866866" w14:textId="77777777" w:rsidR="00D20103" w:rsidRDefault="00D20103"/>
    <w:p w14:paraId="5A5FF2E9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5FA4B4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6B70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84DF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43FC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F3B3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F6DD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6C30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5ECF57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09A2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7B844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4F594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DDF5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871.362,26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D1B3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864.665,37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AEAD2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</w:tbl>
    <w:p w14:paraId="5351225B" w14:textId="77777777" w:rsidR="00D20103" w:rsidRDefault="00D20103">
      <w:pPr>
        <w:spacing w:after="0"/>
      </w:pPr>
    </w:p>
    <w:p w14:paraId="6A9FED4D" w14:textId="77777777" w:rsidR="00D20103" w:rsidRDefault="00CF5233">
      <w:pPr>
        <w:jc w:val="both"/>
      </w:pPr>
      <w:r>
        <w:t>Rashodi poslovanja na dan 30. lipnja 2026. godine iznose 864.665,37 € te su gotovo na istoj razini u odnosu na isto razdoblje prethodne godine.</w:t>
      </w:r>
    </w:p>
    <w:p w14:paraId="145F8090" w14:textId="77777777" w:rsidR="00D20103" w:rsidRDefault="00D20103"/>
    <w:p w14:paraId="2ED3C2C5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5DCA5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3CAB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4D5CE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AF4F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452E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CC04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9609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0CF46A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7B603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CE4E75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4AF4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5094A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726.603,36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2353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674.264,69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FACC9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92,8</w:t>
            </w:r>
          </w:p>
        </w:tc>
      </w:tr>
    </w:tbl>
    <w:p w14:paraId="17B59ECC" w14:textId="77777777" w:rsidR="00D20103" w:rsidRDefault="00D20103">
      <w:pPr>
        <w:spacing w:after="0"/>
      </w:pPr>
    </w:p>
    <w:p w14:paraId="2D99B627" w14:textId="00C4E4B5" w:rsidR="00D20103" w:rsidRDefault="00CF5233">
      <w:pPr>
        <w:jc w:val="both"/>
      </w:pPr>
      <w:r>
        <w:t>Rashodi za zaposlene u prvom polugodištu 2026. godine iznose 674.264,69</w:t>
      </w:r>
      <w:r>
        <w:t xml:space="preserve"> €. Blago smanjenje u odnosu na isto razdoblje prethodne godine proizlazi iz ukidanja evidentiranja kontinuiranih rashoda budućih razdoblja.</w:t>
      </w:r>
    </w:p>
    <w:p w14:paraId="7CEDB8ED" w14:textId="77777777" w:rsidR="00D20103" w:rsidRDefault="00D20103"/>
    <w:p w14:paraId="46DC563B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5C362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4F24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F1CEE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A47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3201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2779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3552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01B56B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7D6F7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E8790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3843D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50BB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143.496,35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EAF4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190.058,31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86F5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27DC7044" w14:textId="77777777" w:rsidR="00D20103" w:rsidRDefault="00D20103">
      <w:pPr>
        <w:spacing w:after="0"/>
      </w:pPr>
    </w:p>
    <w:p w14:paraId="4ECBA3EA" w14:textId="77777777" w:rsidR="00D20103" w:rsidRDefault="00CF5233">
      <w:pPr>
        <w:jc w:val="both"/>
      </w:pPr>
      <w:r>
        <w:t>Materijalni rashodi povećani su za 32,40 % u odnosu na isto razdoblje prethodne godine. Povećanje materijalnih rashoda posljedica je prvenstveno rasta cijena namirnica, potrošnog materijala, režijskih troškova te ostalih troškova povezanih s redovnim poslo</w:t>
      </w:r>
      <w:r>
        <w:t>vanjem škole.</w:t>
      </w:r>
    </w:p>
    <w:p w14:paraId="755C3639" w14:textId="77777777" w:rsidR="00D20103" w:rsidRDefault="00D20103"/>
    <w:p w14:paraId="6D993053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64012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FD7A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163C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EC7E0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6C7C0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9CF6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6037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0A65B0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40F19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3F1C5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EFB8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4E055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EF8D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C3EE5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60,9</w:t>
            </w:r>
          </w:p>
        </w:tc>
      </w:tr>
    </w:tbl>
    <w:p w14:paraId="7A2E529C" w14:textId="77777777" w:rsidR="00D20103" w:rsidRDefault="00D20103">
      <w:pPr>
        <w:spacing w:after="0"/>
      </w:pPr>
    </w:p>
    <w:p w14:paraId="5E242507" w14:textId="77777777" w:rsidR="00D20103" w:rsidRDefault="00CF5233">
      <w:pPr>
        <w:jc w:val="both"/>
      </w:pPr>
      <w:r>
        <w:t>Financijski rashodi u prvom polugodištu 2026. godine smanjeni su za 39,10 % u odnosu na isto razdoblje prethodne godine, što je posljedica manjeg broja izvršenih transakcija.</w:t>
      </w:r>
    </w:p>
    <w:p w14:paraId="2BAD6F36" w14:textId="77777777" w:rsidR="00D20103" w:rsidRDefault="00D20103"/>
    <w:p w14:paraId="37903326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2A40D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70C0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620FE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C9B0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4EEF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0E1E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863F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10FF46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22EB6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A6B7F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D1D69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DF72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208.025,94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E4006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354.865,16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AEA68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</w:t>
            </w:r>
          </w:p>
        </w:tc>
      </w:tr>
    </w:tbl>
    <w:p w14:paraId="2C4BEC58" w14:textId="77777777" w:rsidR="00D20103" w:rsidRDefault="00D20103">
      <w:pPr>
        <w:spacing w:after="0"/>
      </w:pPr>
    </w:p>
    <w:p w14:paraId="77B6C132" w14:textId="77777777" w:rsidR="00D20103" w:rsidRDefault="00CF5233">
      <w:pPr>
        <w:jc w:val="both"/>
      </w:pPr>
      <w:r>
        <w:t>Ostvareni višak prihoda poslovanja u iznosu od 354.865,16 € najvećim je dijelom posljedica toga što su sredstva za pokriće rashoda nastalih i evidentiranih u prosincu 2025. godine doznačena u siječnju 2026. godine.</w:t>
      </w:r>
    </w:p>
    <w:p w14:paraId="391E9FD3" w14:textId="77777777" w:rsidR="00D20103" w:rsidRDefault="00D20103"/>
    <w:p w14:paraId="66E63F3C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73D757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4DBF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7F75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87F33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A32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461B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5930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46B4EF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D0F4C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0A6D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E0E01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C0C5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696.994,22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12BA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262.384,44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3C62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37,6</w:t>
            </w:r>
          </w:p>
        </w:tc>
      </w:tr>
    </w:tbl>
    <w:p w14:paraId="26624E72" w14:textId="77777777" w:rsidR="00D20103" w:rsidRDefault="00D20103">
      <w:pPr>
        <w:spacing w:after="0"/>
      </w:pPr>
    </w:p>
    <w:p w14:paraId="2468337F" w14:textId="77777777" w:rsidR="00D20103" w:rsidRDefault="00CF5233">
      <w:pPr>
        <w:jc w:val="both"/>
      </w:pPr>
      <w:r>
        <w:t>Rashodi za nabavu nefinancijske imovine u prvom polugodištu 2026. godine smanjeni su za 62,40 % u odnosu na isto razdoblje prethodne godine. Smanjenje rashoda posljedica je dovršetka obnove školske zgrade 2, zbog čega je smanjen opseg daljnjih ulaganja u n</w:t>
      </w:r>
      <w:r>
        <w:t>efinancijsku imovinu.</w:t>
      </w:r>
    </w:p>
    <w:p w14:paraId="4C8C5EEF" w14:textId="77777777" w:rsidR="00D20103" w:rsidRDefault="00D20103"/>
    <w:p w14:paraId="4022E1D2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0F357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E1DD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A9D5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1DD5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5B6F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9D3F7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56C3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46D09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2FF0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F108E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ADCF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BF794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5A84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113.718,46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6935F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3809,9</w:t>
            </w:r>
          </w:p>
        </w:tc>
      </w:tr>
    </w:tbl>
    <w:p w14:paraId="4B62299B" w14:textId="77777777" w:rsidR="00D20103" w:rsidRDefault="00D20103">
      <w:pPr>
        <w:spacing w:after="0"/>
      </w:pPr>
    </w:p>
    <w:p w14:paraId="0FE30178" w14:textId="77777777" w:rsidR="00D20103" w:rsidRDefault="00CF5233">
      <w:pPr>
        <w:jc w:val="both"/>
      </w:pPr>
      <w:r>
        <w:t xml:space="preserve">Rashodi za nabavu proizvedene dugotrajne imovine u prvom polugodištu 2026. godine višestruko su povećani u odnosu na isto razdoblje prethodne godine. Povećanje je posljedica </w:t>
      </w:r>
      <w:r>
        <w:lastRenderedPageBreak/>
        <w:t>opremanja školske zgrade 2, pri čemu je iznos od 105.436,59 € osiguran od strane M</w:t>
      </w:r>
      <w:r>
        <w:t>inistarstva znanosti, obrazovanja i mladih, dok je preostala sredstva osigurao osnivač.</w:t>
      </w:r>
    </w:p>
    <w:p w14:paraId="12BC0A20" w14:textId="77777777" w:rsidR="00D20103" w:rsidRDefault="00D20103"/>
    <w:p w14:paraId="52DD2393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475035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A8FD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D62A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F87C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98E1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51F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F28E2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40710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E251A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24A10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005C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A8572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694.009,38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E64AC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147.810,98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8D06E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21,3</w:t>
            </w:r>
          </w:p>
        </w:tc>
      </w:tr>
    </w:tbl>
    <w:p w14:paraId="4AAA877D" w14:textId="77777777" w:rsidR="00D20103" w:rsidRDefault="00D20103">
      <w:pPr>
        <w:spacing w:after="0"/>
      </w:pPr>
    </w:p>
    <w:p w14:paraId="0B1CA7F8" w14:textId="77777777" w:rsidR="00D20103" w:rsidRDefault="00CF5233">
      <w:pPr>
        <w:jc w:val="both"/>
      </w:pPr>
      <w:r>
        <w:t>Rashodi za dodatna ulaganja na nefinancijskoj imovini smanjeni su za 78,70 % u odnosu na isto razdoblje prethodne godine. Smanjenje je prvenstveno posljedica dovršetka projekta energetske obnove školske zgrade 2, koji je tijekom 2025. godine zahtijevao zna</w:t>
      </w:r>
      <w:r>
        <w:t>čajna ulaganja.</w:t>
      </w:r>
    </w:p>
    <w:p w14:paraId="65649B99" w14:textId="77777777" w:rsidR="00D20103" w:rsidRDefault="00D20103"/>
    <w:p w14:paraId="5FB239DC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20103" w14:paraId="5A6DD8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2A1B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89F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03B9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BFE68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BA5BD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201DA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5DBC16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694B8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24344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</w:t>
            </w:r>
            <w:r>
              <w:rPr>
                <w:sz w:val="18"/>
              </w:rPr>
              <w:t>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6750B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4D408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379.362,03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6F0C1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114.864,59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ED848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30,3</w:t>
            </w:r>
          </w:p>
        </w:tc>
      </w:tr>
    </w:tbl>
    <w:p w14:paraId="13B900C1" w14:textId="77777777" w:rsidR="00D20103" w:rsidRDefault="00D20103">
      <w:pPr>
        <w:spacing w:after="0"/>
      </w:pPr>
    </w:p>
    <w:p w14:paraId="3B5E9912" w14:textId="77777777" w:rsidR="00D20103" w:rsidRDefault="00CF5233">
      <w:pPr>
        <w:jc w:val="both"/>
      </w:pPr>
      <w:r>
        <w:t>Ukupan manjak prihoda i primitaka iznosi 114.864,59 €. Navedeni manjak proizlazi iz evidentiranih obveza za plaće i račune čije dospijeće nastupa u srpnju 2026. godine.</w:t>
      </w:r>
    </w:p>
    <w:p w14:paraId="372320C8" w14:textId="77777777" w:rsidR="00D20103" w:rsidRDefault="00D20103"/>
    <w:p w14:paraId="59AD58F2" w14:textId="77777777" w:rsidR="00D20103" w:rsidRDefault="00CF523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A3A0FE8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0103" w14:paraId="561E6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128DF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9DAF1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1008E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F197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171FB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D20103" w14:paraId="65409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3D53C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84693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83ED5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F4B86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0F480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96BFF7" w14:textId="77777777" w:rsidR="00D20103" w:rsidRDefault="00D20103">
      <w:pPr>
        <w:spacing w:after="0"/>
      </w:pPr>
    </w:p>
    <w:p w14:paraId="044F691C" w14:textId="77777777" w:rsidR="00D20103" w:rsidRDefault="00CF5233">
      <w:pPr>
        <w:jc w:val="both"/>
      </w:pPr>
      <w:r>
        <w:t>Na dan 30. lipnja 2026. godine nisu evidentirane dospjele obveze.</w:t>
      </w:r>
    </w:p>
    <w:p w14:paraId="75800CBE" w14:textId="77777777" w:rsidR="00D20103" w:rsidRDefault="00D20103"/>
    <w:p w14:paraId="4C75D05B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20103" w14:paraId="303DB6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70C4C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FA644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A2C55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3AA79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FA586" w14:textId="77777777" w:rsidR="00D20103" w:rsidRDefault="00CF52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103" w14:paraId="5107A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634F8" w14:textId="77777777" w:rsidR="00D20103" w:rsidRDefault="00D2010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AF408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0C8A6" w14:textId="77777777" w:rsidR="00D20103" w:rsidRDefault="00CF52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E57F3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145.722,66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108B4" w14:textId="77777777" w:rsidR="00D20103" w:rsidRDefault="00CF52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5C327D" w14:textId="77777777" w:rsidR="00D20103" w:rsidRDefault="00D20103">
      <w:pPr>
        <w:spacing w:after="0"/>
      </w:pPr>
    </w:p>
    <w:p w14:paraId="2209BB81" w14:textId="77777777" w:rsidR="00D20103" w:rsidRDefault="00CF5233">
      <w:pPr>
        <w:jc w:val="both"/>
      </w:pPr>
      <w:r>
        <w:lastRenderedPageBreak/>
        <w:t>Na kraju izvještajnog razdoblja evidentirane su nedospjele obveze prema subjektima općeg proračuna u iznosu od 457,29 €, koje se odnose na refundacije HZZO-a za bolovanja. Obveze za rashode poslovanja u iznosu od 129.815,81 € odnose se na plaće i račune za</w:t>
      </w:r>
      <w:r>
        <w:t xml:space="preserve"> lipanj 2026. godine, koji su podmireni u srpnju 2026. godine.</w:t>
      </w:r>
    </w:p>
    <w:p w14:paraId="6A6B1263" w14:textId="77777777" w:rsidR="00D20103" w:rsidRDefault="00D20103"/>
    <w:p w14:paraId="28AD4798" w14:textId="77777777" w:rsidR="00D20103" w:rsidRDefault="00CF5233">
      <w:pPr>
        <w:keepNext/>
        <w:spacing w:line="240" w:lineRule="auto"/>
        <w:jc w:val="center"/>
      </w:pPr>
      <w:r>
        <w:rPr>
          <w:sz w:val="28"/>
        </w:rPr>
        <w:t>Bilješka 22.</w:t>
      </w:r>
    </w:p>
    <w:p w14:paraId="1AA04DB7" w14:textId="77777777" w:rsidR="00D20103" w:rsidRDefault="00CF5233">
      <w:pPr>
        <w:spacing w:line="240" w:lineRule="auto"/>
        <w:jc w:val="both"/>
      </w:pPr>
      <w:r>
        <w:rPr>
          <w:b/>
        </w:rPr>
        <w:t>EU izvještaj</w:t>
      </w:r>
    </w:p>
    <w:p w14:paraId="12D22180" w14:textId="77777777" w:rsidR="00D20103" w:rsidRDefault="00CF5233">
      <w:pPr>
        <w:jc w:val="both"/>
      </w:pPr>
      <w:r>
        <w:rPr>
          <w:b/>
        </w:rPr>
        <w:t>Projekt "I ti možeš" – pomoćnici u nastavi (ESF+)</w:t>
      </w:r>
    </w:p>
    <w:p w14:paraId="225BF1EF" w14:textId="77777777" w:rsidR="00D20103" w:rsidRDefault="00CF5233">
      <w:pPr>
        <w:jc w:val="both"/>
      </w:pPr>
      <w:r>
        <w:t>U okviru provedbe projekta „I ti možeš“, koji se provodi u sklopu Operativnog programa „Učinkoviti ljudski potencija</w:t>
      </w:r>
      <w:r>
        <w:t>li 2021.–2027.“, a čiji je nositelj Varaždinska županija, školi su osigurana sredstva za financiranje rada četiri pomoćnika u nastavi za učenike s teškoćama u razvoju. Sredstva se školi doznačuju putem Varaždinske županije, dok se projekt sufinancira sreds</w:t>
      </w:r>
      <w:r>
        <w:t>tvima Europskog socijalnog fonda plus (ESF+).</w:t>
      </w:r>
    </w:p>
    <w:p w14:paraId="3C5D2DC6" w14:textId="77777777" w:rsidR="00D20103" w:rsidRDefault="00CF5233">
      <w:pPr>
        <w:jc w:val="both"/>
      </w:pPr>
      <w:r>
        <w:t>Prihodi u iznosu od 16.234,09 € i rashodi u iznosu od 18.330,04 € evidentirani u ovom izvještajnom razdoblju odnose se na financiranje rada četiri pomoćnika u nastavi, odnosno isplatu njihovih plaća, pripadajuć</w:t>
      </w:r>
      <w:r>
        <w:t>ih doprinosa te ostalih prava i naknada, sukladno važećim propisima i pravilima provedbe projekta.</w:t>
      </w:r>
    </w:p>
    <w:p w14:paraId="5DB1D780" w14:textId="77777777" w:rsidR="00D20103" w:rsidRDefault="00CF5233">
      <w:pPr>
        <w:jc w:val="both"/>
      </w:pPr>
      <w:r>
        <w:rPr>
          <w:b/>
        </w:rPr>
        <w:t xml:space="preserve">Projekt energetske obnove školske zgrade 2 – </w:t>
      </w:r>
      <w:proofErr w:type="spellStart"/>
      <w:r>
        <w:rPr>
          <w:b/>
        </w:rPr>
        <w:t>EnU</w:t>
      </w:r>
      <w:proofErr w:type="spellEnd"/>
      <w:r>
        <w:rPr>
          <w:b/>
        </w:rPr>
        <w:t xml:space="preserve"> (NPOO)</w:t>
      </w:r>
    </w:p>
    <w:p w14:paraId="0AA529C9" w14:textId="77777777" w:rsidR="00D20103" w:rsidRDefault="00CF5233">
      <w:pPr>
        <w:jc w:val="both"/>
      </w:pPr>
      <w:r>
        <w:t>Projekt energetske obnove školske zgrade 2 na adresi Školska ulica 7, Sveti Ilija financira se bespovratnim sredstvima Mehanizma za oporavak i otpornost u okviru Nacionalnog plana oporavka i otpornosti 2021.–2026., uz sufinanciranje Varaždinske županije. R</w:t>
      </w:r>
      <w:r>
        <w:t>adovi su započeli u studenome 2024. godine, a završeni su u siječnju 2026. godine.</w:t>
      </w:r>
    </w:p>
    <w:p w14:paraId="7D40C727" w14:textId="77777777" w:rsidR="00D20103" w:rsidRDefault="00CF5233">
      <w:pPr>
        <w:jc w:val="both"/>
      </w:pPr>
      <w:r>
        <w:t>Ukupni prihvatljivi troškovi projekta iznose 1.216.143,75 €, dok su dodijeljena bespovratna sredstva u iznosu od 977.902,14 €, što predstavlja najveći mogući udio sufinancir</w:t>
      </w:r>
      <w:r>
        <w:t>anja prihvatljivih troškova projekta sukladno ugovorenim uvjetima. Krajem 2024. godine isplaćen je predujam u iznosu od 195.580,42 €, koji je u cijelosti iskorišten tijekom 2025. godine.</w:t>
      </w:r>
    </w:p>
    <w:p w14:paraId="392519C8" w14:textId="77777777" w:rsidR="00D20103" w:rsidRDefault="00CF5233">
      <w:pPr>
        <w:jc w:val="both"/>
      </w:pPr>
      <w:r>
        <w:t>Do 30. lipnja 2026. godine evidentirani su rashodi u iznosu od 940,10</w:t>
      </w:r>
      <w:r>
        <w:t xml:space="preserve"> €, dok prihodi po projektu nisu ostvareni. Potraživanja za pomoći temeljem prijenosa EU sredstava iznosila su 32.030,77 €, a odnose se na podnesene zahtjeve za nadoknadu sredstava (ZNS) za posljednja dva mjeseca provedbe projekta te okončanu situaciju. Po</w:t>
      </w:r>
      <w:r>
        <w:t>traživanja po ugovorima o dodjeli bespovratnih sredstava Europske unije na dan 30. lipnja 2026. godine iznosila su 1.273,42 €.</w:t>
      </w:r>
    </w:p>
    <w:p w14:paraId="5F5AD5D0" w14:textId="77777777" w:rsidR="00D20103" w:rsidRDefault="00CF5233">
      <w:r>
        <w:t> </w:t>
      </w:r>
    </w:p>
    <w:p w14:paraId="3AC96355" w14:textId="77777777" w:rsidR="00D20103" w:rsidRDefault="00D20103"/>
    <w:sectPr w:rsidR="00D2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03"/>
    <w:rsid w:val="00CF5233"/>
    <w:rsid w:val="00D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093A"/>
  <w15:docId w15:val="{133F92A4-507F-4CF2-8F86-097A2314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2407</Words>
  <Characters>13726</Characters>
  <Application>Microsoft Office Word</Application>
  <DocSecurity>0</DocSecurity>
  <Lines>114</Lines>
  <Paragraphs>32</Paragraphs>
  <ScaleCrop>false</ScaleCrop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2026-07-15T06:38:00Z</dcterms:created>
  <dcterms:modified xsi:type="dcterms:W3CDTF">2026-07-15T09:01:00Z</dcterms:modified>
</cp:coreProperties>
</file>